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108" w:type="dxa"/>
        <w:tblLook w:val="04A0"/>
      </w:tblPr>
      <w:tblGrid>
        <w:gridCol w:w="4464"/>
        <w:gridCol w:w="5336"/>
      </w:tblGrid>
      <w:tr w:rsidR="005E0AD5" w:rsidRPr="005E0AD5" w:rsidTr="005E0AD5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1.0.5</w:t>
            </w:r>
          </w:p>
        </w:tc>
      </w:tr>
      <w:tr w:rsidR="005E0AD5" w:rsidRPr="005E0AD5" w:rsidTr="005E0AD5">
        <w:trPr>
          <w:trHeight w:val="810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показателях финансово-хозяйственной деятельности, об основных потребительских характеристиках регулируемых товаров и услуг, об инвестиционных программах регулируемой организации в сфере холодного водоснабжения</w:t>
            </w:r>
          </w:p>
        </w:tc>
      </w:tr>
      <w:tr w:rsidR="005E0AD5" w:rsidRPr="005E0AD5" w:rsidTr="005E0AD5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5E0AD5" w:rsidRPr="005E0AD5" w:rsidTr="005E0AD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5E0AD5" w:rsidRPr="005E0AD5" w:rsidTr="005E0AD5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E0AD5" w:rsidRPr="005E0AD5" w:rsidTr="005E0AD5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5E0AD5" w:rsidRPr="005E0AD5" w:rsidTr="005E0AD5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E0AD5" w:rsidRPr="005E0AD5" w:rsidTr="005E0AD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5E0AD5" w:rsidRPr="005E0AD5" w:rsidTr="005E0AD5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E0AD5" w:rsidRPr="005E0AD5" w:rsidTr="005E0AD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 (год)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2020</w:t>
            </w:r>
            <w:bookmarkEnd w:id="4"/>
          </w:p>
        </w:tc>
      </w:tr>
      <w:tr w:rsidR="005E0AD5" w:rsidRPr="005E0AD5" w:rsidTr="005E0AD5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E0AD5" w:rsidRPr="005E0AD5" w:rsidTr="005E0AD5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3"/>
            <w:bookmarkStart w:id="9" w:name="RANGE!F21"/>
            <w:bookmarkEnd w:id="9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8"/>
          </w:p>
        </w:tc>
      </w:tr>
      <w:tr w:rsidR="005E0AD5" w:rsidRPr="005E0AD5" w:rsidTr="005E0AD5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E0AD5" w:rsidRPr="005E0AD5" w:rsidTr="005E0AD5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85725</wp:posOffset>
                  </wp:positionV>
                  <wp:extent cx="1323975" cy="190500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2895600"/>
                            <a:ext cx="3381375" cy="285750"/>
                            <a:chOff x="3095626" y="2895600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5E0AD5" w:rsidRPr="005E0AD5" w:rsidTr="005E0AD5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  <w:bookmarkEnd w:id="10"/>
          </w:p>
        </w:tc>
      </w:tr>
      <w:tr w:rsidR="005E0AD5" w:rsidRPr="005E0AD5" w:rsidTr="005E0AD5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  <w:bookmarkEnd w:id="11"/>
          </w:p>
        </w:tc>
      </w:tr>
      <w:tr w:rsidR="005E0AD5" w:rsidRPr="005E0AD5" w:rsidTr="005E0AD5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  <w:bookmarkEnd w:id="13"/>
          </w:p>
        </w:tc>
      </w:tr>
      <w:tr w:rsidR="005E0AD5" w:rsidRPr="005E0AD5" w:rsidTr="005E0AD5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E0AD5" w:rsidRPr="005E0AD5" w:rsidTr="005E0AD5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Регулируемая организация осуществляет сдачу годового бухгалтерского баланса в налоговые органы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14"/>
          </w:p>
        </w:tc>
      </w:tr>
      <w:tr w:rsidR="005E0AD5" w:rsidRPr="005E0AD5" w:rsidTr="005E0AD5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направления годового бухгалтерского баланса в налоговые органы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15" w:name="RANGE!F33"/>
            <w:r w:rsidRPr="005E0A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30.03.2021</w:t>
            </w:r>
            <w:bookmarkEnd w:id="15"/>
          </w:p>
        </w:tc>
      </w:tr>
      <w:tr w:rsidR="005E0AD5" w:rsidRPr="005E0AD5" w:rsidTr="005E0AD5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E0AD5" w:rsidRPr="005E0AD5" w:rsidTr="005E0AD5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Превышает ли выручка от регулируемой деятельности 80% совокупной выручки за отчетный год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5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6"/>
          </w:p>
        </w:tc>
      </w:tr>
      <w:tr w:rsidR="005E0AD5" w:rsidRPr="005E0AD5" w:rsidTr="005E0AD5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E0AD5" w:rsidRPr="005E0AD5" w:rsidTr="005E0AD5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 выполняет инвестиционную программу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7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7"/>
          </w:p>
        </w:tc>
      </w:tr>
      <w:tr w:rsidR="005E0AD5" w:rsidRPr="005E0AD5" w:rsidTr="005E0AD5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E0AD5" w:rsidRPr="005E0AD5" w:rsidTr="005E0AD5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8" w:name="RANGE!F40"/>
            <w:bookmarkStart w:id="19" w:name="RANGE!F38"/>
            <w:bookmarkEnd w:id="19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665360, Иркутская область, </w:t>
            </w: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п</w:t>
            </w:r>
            <w:proofErr w:type="gram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.Ц</w:t>
            </w:r>
            <w:proofErr w:type="gramEnd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ентральный Хазан, ул.Мира, д.16</w:t>
            </w:r>
            <w:bookmarkEnd w:id="18"/>
          </w:p>
        </w:tc>
      </w:tr>
      <w:tr w:rsidR="005E0AD5" w:rsidRPr="005E0AD5" w:rsidTr="005E0AD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0" w:name="RANGE!F41"/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</w:t>
            </w:r>
            <w:proofErr w:type="spellEnd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Александр Дмитриевич</w:t>
            </w:r>
            <w:bookmarkEnd w:id="20"/>
          </w:p>
        </w:tc>
      </w:tr>
      <w:tr w:rsidR="005E0AD5" w:rsidRPr="005E0AD5" w:rsidTr="005E0AD5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E0AD5" w:rsidRPr="005E0AD5" w:rsidTr="005E0AD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5E0AD5" w:rsidRPr="005E0AD5" w:rsidTr="005E0AD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1" w:name="RANGE!F44:F47"/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Кочегура</w:t>
            </w:r>
            <w:proofErr w:type="spellEnd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Людмила Михайловна</w:t>
            </w:r>
            <w:bookmarkEnd w:id="21"/>
          </w:p>
        </w:tc>
      </w:tr>
      <w:tr w:rsidR="005E0AD5" w:rsidRPr="005E0AD5" w:rsidTr="005E0AD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5E0AD5" w:rsidRPr="005E0AD5" w:rsidTr="005E0AD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89027609141</w:t>
            </w:r>
          </w:p>
        </w:tc>
      </w:tr>
      <w:tr w:rsidR="005E0AD5" w:rsidRPr="005E0AD5" w:rsidTr="005E0AD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  <w:tr w:rsidR="005E0AD5" w:rsidRPr="005E0AD5" w:rsidTr="005E0AD5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DF7697" w:rsidRDefault="00DF7697"/>
    <w:p w:rsidR="005E0AD5" w:rsidRDefault="005E0AD5"/>
    <w:p w:rsidR="005E0AD5" w:rsidRDefault="005E0AD5"/>
    <w:p w:rsidR="005E0AD5" w:rsidRDefault="005E0AD5"/>
    <w:p w:rsidR="005E0AD5" w:rsidRDefault="005E0AD5"/>
    <w:tbl>
      <w:tblPr>
        <w:tblW w:w="9360" w:type="dxa"/>
        <w:tblInd w:w="-72" w:type="dxa"/>
        <w:tblLook w:val="04A0"/>
      </w:tblPr>
      <w:tblGrid>
        <w:gridCol w:w="742"/>
        <w:gridCol w:w="5740"/>
        <w:gridCol w:w="1102"/>
        <w:gridCol w:w="1776"/>
      </w:tblGrid>
      <w:tr w:rsidR="005E0AD5" w:rsidRPr="005E0AD5" w:rsidTr="005E0AD5">
        <w:trPr>
          <w:trHeight w:val="780"/>
        </w:trPr>
        <w:tc>
          <w:tcPr>
            <w:tcW w:w="766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E0AD5" w:rsidRPr="005E0AD5" w:rsidTr="005E0AD5">
        <w:trPr>
          <w:trHeight w:val="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5E0AD5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5E0AD5" w:rsidRPr="005E0AD5" w:rsidTr="005E0AD5">
        <w:trPr>
          <w:trHeight w:val="360"/>
        </w:trPr>
        <w:tc>
          <w:tcPr>
            <w:tcW w:w="93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5E0AD5" w:rsidRPr="005E0AD5" w:rsidTr="005E0AD5">
        <w:trPr>
          <w:trHeight w:val="2025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74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0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5E0AD5" w:rsidRPr="005E0AD5" w:rsidTr="005E0AD5">
        <w:trPr>
          <w:trHeight w:val="42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5E0AD5" w:rsidRPr="005E0AD5" w:rsidTr="005E0AD5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5E0AD5" w:rsidRPr="005E0AD5" w:rsidTr="005E0AD5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30.03.2021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41,86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168,22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68,30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</w:t>
            </w:r>
            <w:proofErr w:type="gram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3,52</w:t>
            </w:r>
          </w:p>
        </w:tc>
      </w:tr>
      <w:tr w:rsidR="005E0AD5" w:rsidRPr="005E0AD5" w:rsidTr="005E0AD5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19,4000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91,02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69,90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21,12</w:t>
            </w:r>
          </w:p>
        </w:tc>
      </w:tr>
      <w:tr w:rsidR="005E0AD5" w:rsidRPr="005E0AD5" w:rsidTr="005E0AD5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8,90</w:t>
            </w:r>
          </w:p>
        </w:tc>
      </w:tr>
      <w:tr w:rsidR="005E0AD5" w:rsidRPr="005E0AD5" w:rsidTr="005E0AD5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8,90</w:t>
            </w:r>
          </w:p>
        </w:tc>
      </w:tr>
      <w:tr w:rsidR="005E0AD5" w:rsidRPr="005E0AD5" w:rsidTr="005E0AD5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1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2" w:name="RANGE!G38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2"/>
          </w:p>
        </w:tc>
      </w:tr>
      <w:tr w:rsidR="005E0AD5" w:rsidRPr="005E0AD5" w:rsidTr="005E0AD5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7E4FF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5E0AD5" w:rsidRPr="005E0AD5" w:rsidTr="005E0AD5">
        <w:trPr>
          <w:trHeight w:val="675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3" w:name="RANGE!G40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3"/>
          </w:p>
        </w:tc>
      </w:tr>
      <w:tr w:rsidR="005E0AD5" w:rsidRPr="005E0AD5" w:rsidTr="005E0AD5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7E4FF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8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4" w:name="RANGE!E45"/>
            <w:r w:rsidRPr="005E0AD5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24"/>
          </w:p>
        </w:tc>
        <w:tc>
          <w:tcPr>
            <w:tcW w:w="11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126,36</w:t>
            </w:r>
          </w:p>
        </w:tc>
      </w:tr>
      <w:tr w:rsidR="005E0AD5" w:rsidRPr="005E0AD5" w:rsidTr="005E0AD5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5E0AD5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5E0AD5" w:rsidRPr="005E0AD5" w:rsidTr="005E0AD5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10,0560</w:t>
            </w:r>
          </w:p>
        </w:tc>
      </w:tr>
      <w:tr w:rsidR="005E0AD5" w:rsidRPr="005E0AD5" w:rsidTr="005E0AD5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покупной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5E0AD5" w:rsidRPr="005E0AD5" w:rsidTr="005E0AD5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5E0AD5" w:rsidRPr="005E0AD5" w:rsidTr="005E0AD5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10,0560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по приборам учета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10,0560</w:t>
            </w:r>
          </w:p>
        </w:tc>
      </w:tr>
      <w:tr w:rsidR="005E0AD5" w:rsidRPr="005E0AD5" w:rsidTr="005E0AD5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Потери воды в сетях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0,25</w:t>
            </w:r>
          </w:p>
        </w:tc>
      </w:tr>
      <w:tr w:rsidR="005E0AD5" w:rsidRPr="005E0AD5" w:rsidTr="005E0AD5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или тыс. куб. 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1,9292</w:t>
            </w:r>
          </w:p>
        </w:tc>
      </w:tr>
      <w:tr w:rsidR="005E0AD5" w:rsidRPr="005E0AD5" w:rsidTr="005E0AD5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собственные нужды,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57,10</w:t>
            </w:r>
          </w:p>
        </w:tc>
      </w:tr>
      <w:tr w:rsidR="005E0AD5" w:rsidRPr="005E0AD5" w:rsidTr="005E0AD5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хозяйственно-бытовые нужды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Показатель использования производственных объектов,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p w:rsidR="005E0AD5" w:rsidRDefault="005E0AD5"/>
    <w:tbl>
      <w:tblPr>
        <w:tblW w:w="9580" w:type="dxa"/>
        <w:tblInd w:w="-72" w:type="dxa"/>
        <w:tblLook w:val="04A0"/>
      </w:tblPr>
      <w:tblGrid>
        <w:gridCol w:w="611"/>
        <w:gridCol w:w="1834"/>
        <w:gridCol w:w="1082"/>
        <w:gridCol w:w="6116"/>
      </w:tblGrid>
      <w:tr w:rsidR="005E0AD5" w:rsidRPr="005E0AD5" w:rsidTr="005E0AD5">
        <w:trPr>
          <w:trHeight w:val="522"/>
        </w:trPr>
        <w:tc>
          <w:tcPr>
            <w:tcW w:w="3536" w:type="dxa"/>
            <w:gridSpan w:val="3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E0AD5" w:rsidRPr="005E0AD5" w:rsidTr="005E0AD5">
        <w:trPr>
          <w:trHeight w:val="6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5E0AD5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5E0AD5" w:rsidRPr="005E0AD5" w:rsidTr="005E0AD5">
        <w:trPr>
          <w:trHeight w:val="225"/>
        </w:trPr>
        <w:tc>
          <w:tcPr>
            <w:tcW w:w="95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5E0AD5" w:rsidRPr="005E0AD5" w:rsidTr="005E0AD5">
        <w:trPr>
          <w:trHeight w:val="2025"/>
        </w:trPr>
        <w:tc>
          <w:tcPr>
            <w:tcW w:w="43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6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93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04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5E0AD5" w:rsidRPr="005E0AD5" w:rsidTr="005E0AD5">
        <w:trPr>
          <w:trHeight w:val="225"/>
        </w:trPr>
        <w:tc>
          <w:tcPr>
            <w:tcW w:w="43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5E0AD5" w:rsidRPr="005E0AD5" w:rsidTr="005E0AD5">
        <w:trPr>
          <w:trHeight w:val="21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5E0AD5" w:rsidRPr="005E0AD5" w:rsidTr="005E0AD5">
        <w:trPr>
          <w:trHeight w:val="450"/>
        </w:trPr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9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ед. на </w:t>
            </w:r>
            <w:proofErr w:type="gram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60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60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E0AD5" w:rsidRPr="005E0AD5" w:rsidTr="005E0AD5">
        <w:trPr>
          <w:trHeight w:val="450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9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450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срок действия ограничений подачи холодной воды по графику для ограничений сроком менее 24 часов </w:t>
            </w:r>
          </w:p>
        </w:tc>
        <w:tc>
          <w:tcPr>
            <w:tcW w:w="9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450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9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450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9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Доля потребителей, затронутых </w:t>
            </w: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ограничениями подачи холодной воды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60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</w:pPr>
            <w:bookmarkStart w:id="25" w:name="RANGE!G17"/>
            <w:bookmarkStart w:id="26" w:name="RANGE!G7"/>
            <w:bookmarkEnd w:id="26"/>
            <w:r w:rsidRPr="005E0AD5"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  <w:t> </w:t>
            </w:r>
            <w:bookmarkEnd w:id="25"/>
          </w:p>
        </w:tc>
      </w:tr>
      <w:tr w:rsidR="005E0AD5" w:rsidRPr="005E0AD5" w:rsidTr="005E0AD5">
        <w:trPr>
          <w:trHeight w:val="6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6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450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воды, в том числе по следующим показателям: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6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5.3.1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</w:t>
            </w:r>
            <w:proofErr w:type="spellEnd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0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E0AD5" w:rsidRPr="005E0AD5" w:rsidTr="005E0AD5">
        <w:trPr>
          <w:trHeight w:val="675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0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hyperlink r:id="rId4" w:anchor="RANGE!G38" w:tooltip="Кликните по гиперссылке, чтобы перейти по гиперссылке или отредактировать её" w:history="1">
              <w:r w:rsidRPr="005E0AD5">
                <w:rPr>
                  <w:rFonts w:ascii="Tahoma" w:eastAsia="Times New Roman" w:hAnsi="Tahoma" w:cs="Tahoma"/>
                  <w:color w:val="333399"/>
                  <w:sz w:val="18"/>
                  <w:u w:val="single"/>
                  <w:lang w:eastAsia="ru-RU"/>
                </w:rPr>
                <w:t>https://portal.eias.ru/Portal/DownloadPage.aspx?type=12&amp;guid=82731618-d3fc-4677-aad2-f57c40e92dbb</w:t>
              </w:r>
            </w:hyperlink>
          </w:p>
        </w:tc>
      </w:tr>
      <w:tr w:rsidR="005E0AD5" w:rsidRPr="005E0AD5" w:rsidTr="005E0AD5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E0A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bookmarkStart w:id="27" w:name="RANGE!G39"/>
        <w:tc>
          <w:tcPr>
            <w:tcW w:w="60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E0AD5" w:rsidRPr="005E0AD5" w:rsidRDefault="005E0AD5" w:rsidP="005E0AD5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5E0AD5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5E0AD5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"file:///D:\\Для%20переустановки\\Зубакова\\экспертиза%20тарифов%20ПУ-39\\Раскрытие%20информации\\2020%20г\\FAS.JKH.OPEN.INFO.BALANCE.HVS(v1.0.5).xls" \l "RANGE!G39" \o "Кликните по гиперссылке, чтобы перейти по гиперссылке или отредактировать её" </w:instrText>
            </w:r>
            <w:r w:rsidRPr="005E0AD5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5E0AD5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https://portal.eias.ru/Portal/DownloadPage.aspx?type=12&amp;guid=82731618-d3fc-4677-aad2-f57c40e92dbb</w:t>
            </w:r>
            <w:r w:rsidRPr="005E0AD5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7"/>
          </w:p>
        </w:tc>
      </w:tr>
    </w:tbl>
    <w:p w:rsidR="005E0AD5" w:rsidRDefault="005E0AD5"/>
    <w:sectPr w:rsidR="005E0AD5" w:rsidSect="00DF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AD5"/>
    <w:rsid w:val="005E0AD5"/>
    <w:rsid w:val="00DF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AD5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4;&#1083;&#1103;%20&#1087;&#1077;&#1088;&#1077;&#1091;&#1089;&#1090;&#1072;&#1085;&#1086;&#1074;&#1082;&#1080;\&#1047;&#1091;&#1073;&#1072;&#1082;&#1086;&#1074;&#1072;\&#1101;&#1082;&#1089;&#1087;&#1077;&#1088;&#1090;&#1080;&#1079;&#1072;%20&#1090;&#1072;&#1088;&#1080;&#1092;&#1086;&#1074;%20&#1055;&#1059;-39\&#1056;&#1072;&#1089;&#1082;&#1088;&#1099;&#1090;&#1080;&#1077;%20&#1080;&#1085;&#1092;&#1086;&#1088;&#1084;&#1072;&#1094;&#1080;&#1080;\2020%20&#1075;\FAS.JKH.OPEN.INFO.BALANCE.HVS(v1.0.5)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1447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</dc:creator>
  <cp:lastModifiedBy>Зубакова</cp:lastModifiedBy>
  <cp:revision>1</cp:revision>
  <dcterms:created xsi:type="dcterms:W3CDTF">2021-04-16T02:45:00Z</dcterms:created>
  <dcterms:modified xsi:type="dcterms:W3CDTF">2021-04-16T02:47:00Z</dcterms:modified>
</cp:coreProperties>
</file>